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bCs/>
          <w:sz w:val="21"/>
          <w:szCs w:val="21"/>
          <w:lang w:val="en-US" w:eastAsia="zh-CN"/>
        </w:rPr>
        <w:t>望江亭小学屋面防水及校园环境提升工程</w:t>
      </w:r>
    </w:p>
    <w:tbl>
      <w:tblPr>
        <w:tblStyle w:val="3"/>
        <w:tblW w:w="966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3" w:hRule="atLeast"/>
        </w:trPr>
        <w:tc>
          <w:tcPr>
            <w:tcW w:w="9660" w:type="dxa"/>
            <w:noWrap w:val="0"/>
            <w:vAlign w:val="top"/>
          </w:tcPr>
          <w:p w14:paraId="29056D12">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一、工程概况：</w:t>
            </w:r>
          </w:p>
          <w:p w14:paraId="59E4F0FC">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1、工程名称：望江亭小学屋面防水及校园环境提升工程；</w:t>
            </w:r>
          </w:p>
          <w:p w14:paraId="1276BDAE">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2、工程地点：铜陵市望江亭小学；</w:t>
            </w:r>
          </w:p>
          <w:p w14:paraId="1EC85FB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3、工程工期及质量：该项目工期45日历天，工程质量：合格；</w:t>
            </w:r>
          </w:p>
          <w:p w14:paraId="1E06DC0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4、工程概况：本项目主要施工内容为教学楼屋面防水、校园道路及场地改造等项目，具体施工内容和范围详见清单。</w:t>
            </w:r>
          </w:p>
          <w:p w14:paraId="7284E9D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二、招标范围：</w:t>
            </w:r>
          </w:p>
          <w:p w14:paraId="274F9C9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 xml:space="preserve">    除特殊说明外，施工方案、招标文件及工程量清单描述范围内的所有内容，具体详见招标文件。</w:t>
            </w:r>
          </w:p>
          <w:p w14:paraId="45293F91">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三、编制依据</w:t>
            </w:r>
          </w:p>
          <w:p w14:paraId="1AFAF50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1、《2018版安徽省建设工程计价依据》和相关国家计量规范及其安徽2018清单动态定额调整第一期；</w:t>
            </w:r>
          </w:p>
          <w:p w14:paraId="086EE01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2、拟定的招标文件；</w:t>
            </w:r>
          </w:p>
          <w:p w14:paraId="7A6830B8">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3、施工现场情况、工程特点及常规施工方案；</w:t>
            </w:r>
          </w:p>
          <w:p w14:paraId="250E9E6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建筑业营业税改增值税执行安徽省建设工程造价管理总站颁发的造价【2019】7号《关于调整我省现行建设工程计价依据增值税税率的通知》，不可竞争费构成执行安徽省住房城乡建设厅颁发的建标【2021】42号《关于调整安徽省建设工程不可竞争费构成及计费标准的通知》；</w:t>
            </w:r>
          </w:p>
          <w:p w14:paraId="7ECDE71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5、材料价格执行2025年第3期《铜陵工程造价》，信息价没有的参照近期市场价（不含进项税）。</w:t>
            </w:r>
          </w:p>
          <w:p w14:paraId="6687F949">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四、清单编制及报价要求</w:t>
            </w:r>
          </w:p>
          <w:p w14:paraId="7B8ABA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1、工程量清单列出的每个细目已包括涉及与该细目有关的全部工程内容，投标人应将工程量清单与招标文件、合同通用条款、专用条款以及技术规范和图纸一起对照阅读；</w:t>
            </w:r>
          </w:p>
          <w:p w14:paraId="7619497A">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2、除非合同另有规定，工程量清单中每一项单价均应已包括完成相应该项目的工程内容所需的所有人工、设备、材料和其他伴随服务所发生的所有费用；</w:t>
            </w:r>
          </w:p>
          <w:p w14:paraId="78AB55FA">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本清单因项目编码内工作内容较多，特征项不能一一描述，清单只列主要特征，未描述或不完整之处，详见图纸、施工规范及相关说明要求。投标人必须注意，投标时所报的综合单价须是包含完成清单分项工程的所有工作内容及所需采取相应技术措施、施工方案等费用的报价；</w:t>
            </w:r>
          </w:p>
          <w:p w14:paraId="562C9CC6">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108E230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5、措施项目费：清单所列项目仅供参考，投标人应根据其自行编制的施工组织设计文件，结合企业的技术装备情况，自行确定措施项目，但投标人必须是对施工现场实际勘察后结合工程经验，对所有的措施项目作出措施报价，没有报价的，视为已含在其他项目的报价中。一旦中标，措施项目费用不再调整；</w:t>
            </w:r>
          </w:p>
          <w:p w14:paraId="60C3875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6、投标人应填写工程量清单中所有工程细目的价格，凡技术规范和图纸中注明的工程内容，如在清单中未列项，均应视为包含中其它相关项目中；</w:t>
            </w:r>
          </w:p>
          <w:p w14:paraId="2C364F3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7、投标人对工程量清单有任何疑问，应于招标文件规定的疑问提交截止日前提出，否则视为投标人认可该工程量清单已包括了招标范围的全部内；</w:t>
            </w:r>
          </w:p>
          <w:p w14:paraId="552E0BF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8、本项目的一切措施及检测费用，投标人应结合施工现场条件综合考虑到报价中，包干使用，不作调整。</w:t>
            </w:r>
          </w:p>
          <w:p w14:paraId="6FDC7A0C">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五、其它说明</w:t>
            </w:r>
          </w:p>
          <w:p w14:paraId="2B84E256">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1、本工程主材选材时须提供样品经过业主认可，经检验合格后方可使用，并作为验收时依据；</w:t>
            </w:r>
          </w:p>
          <w:p w14:paraId="666A44D6">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2、部分清单项目特征描述不够详尽的，依现场为准；</w:t>
            </w:r>
          </w:p>
          <w:p w14:paraId="6839F74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3、本工</w:t>
            </w:r>
            <w:bookmarkStart w:id="0" w:name="_GoBack"/>
            <w:bookmarkEnd w:id="0"/>
            <w:r>
              <w:rPr>
                <w:rFonts w:hint="eastAsia" w:ascii="宋体" w:hAnsi="宋体" w:eastAsia="宋体" w:cs="宋体"/>
                <w:bCs/>
                <w:sz w:val="21"/>
                <w:szCs w:val="21"/>
                <w:lang w:val="en-US" w:eastAsia="zh-CN"/>
              </w:rPr>
              <w:t>程暂列金额3万元。</w:t>
            </w:r>
          </w:p>
        </w:tc>
      </w:tr>
    </w:tbl>
    <w:p w14:paraId="73EF25EE">
      <w:pPr>
        <w:rPr>
          <w:sz w:val="24"/>
          <w:szCs w:val="24"/>
        </w:rPr>
      </w:pPr>
    </w:p>
    <w:p w14:paraId="19B0AB8D"/>
    <w:sectPr>
      <w:pgSz w:w="11906" w:h="16838"/>
      <w:pgMar w:top="1134" w:right="1417" w:bottom="113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DE389D"/>
    <w:rsid w:val="090A1C57"/>
    <w:rsid w:val="20DE3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496</Words>
  <Characters>513</Characters>
  <Lines>0</Lines>
  <Paragraphs>0</Paragraphs>
  <TotalTime>0</TotalTime>
  <ScaleCrop>false</ScaleCrop>
  <LinksUpToDate>false</LinksUpToDate>
  <CharactersWithSpaces>517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2025-05-29T03:02:00Z</dcterms:created>
  <dc:creator>合普代理吴美丽</dc:creator>
  <cp:lastModifiedBy>合普代理吴美丽</cp:lastModifiedBy>
  <dcterms:modified xsi:type="dcterms:W3CDTF">2025-05-29T03:06:47Z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772187F3966B41A58747DB31F5D094B0_11</vt:lpwstr>
  </property>
  <property fmtid="{D5CDD505-2E9C-101B-9397-08002B2CF9AE}" pid="4" name="KSOTemplateDocerSaveRecord">
    <vt:lpwstr>eyJoZGlkIjoiNzliZmI5NzQ5ZjMyMTA3MmY0ZDBiMDkyY2E1ZGM4NGIiLCJ1c2VySWQiOiIyNjQwMjA5NTMifQ==</vt:lpwstr>
  </property>
</Properties>
</file>